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65" w:rsidRDefault="006D283D">
      <w:r>
        <w:fldChar w:fldCharType="begin"/>
      </w:r>
      <w:r>
        <w:instrText xml:space="preserve"> HYPERLINK "</w:instrText>
      </w:r>
      <w:r w:rsidRPr="006D283D">
        <w:instrText>https://www.qld.gov.au/recreation/activities/fossicking/central-qld/tomahawk-creek/</w:instrText>
      </w:r>
      <w:r>
        <w:instrText xml:space="preserve">" </w:instrText>
      </w:r>
      <w:r>
        <w:fldChar w:fldCharType="separate"/>
      </w:r>
      <w:r w:rsidRPr="00784D85">
        <w:rPr>
          <w:rStyle w:val="Hyperlink"/>
        </w:rPr>
        <w:t>https://www.qld.gov.au/recreation/activities/fossicking/central-qld/tomahawk-creek/</w:t>
      </w:r>
      <w:r>
        <w:fldChar w:fldCharType="end"/>
      </w:r>
    </w:p>
    <w:p w:rsidR="006D283D" w:rsidRDefault="006D283D"/>
    <w:p w:rsidR="006D283D" w:rsidRPr="006D283D" w:rsidRDefault="006D283D" w:rsidP="006D283D">
      <w:pPr>
        <w:spacing w:before="199" w:after="199"/>
        <w:ind w:left="0"/>
        <w:textAlignment w:val="baseline"/>
        <w:outlineLvl w:val="1"/>
        <w:rPr>
          <w:rFonts w:ascii="Helvetica" w:eastAsia="Times New Roman" w:hAnsi="Helvetica" w:cs="Helvetica"/>
          <w:b/>
          <w:bCs/>
          <w:color w:val="000000"/>
          <w:sz w:val="32"/>
          <w:szCs w:val="32"/>
          <w:lang w:eastAsia="en-AU"/>
        </w:rPr>
      </w:pPr>
      <w:r>
        <w:rPr>
          <w:rFonts w:ascii="Helvetica" w:eastAsia="Times New Roman" w:hAnsi="Helvetica" w:cs="Helvetica"/>
          <w:b/>
          <w:bCs/>
          <w:color w:val="000000"/>
          <w:sz w:val="32"/>
          <w:szCs w:val="32"/>
          <w:lang w:eastAsia="en-AU"/>
        </w:rPr>
        <w:t>Fossicki</w:t>
      </w:r>
      <w:hyperlink r:id="rId6" w:history="1">
        <w:r w:rsidRPr="006D283D">
          <w:rPr>
            <w:rFonts w:ascii="Helvetica" w:eastAsia="Times New Roman" w:hAnsi="Helvetica" w:cs="Helvetica"/>
            <w:b/>
            <w:bCs/>
            <w:color w:val="13578B"/>
            <w:sz w:val="32"/>
            <w:szCs w:val="32"/>
            <w:lang w:eastAsia="en-AU"/>
          </w:rPr>
          <w:t>ng in Queensland</w:t>
        </w:r>
      </w:hyperlink>
    </w:p>
    <w:bookmarkStart w:id="0" w:name="_GoBack"/>
    <w:bookmarkEnd w:id="0"/>
    <w:p w:rsidR="006D283D" w:rsidRPr="006D283D" w:rsidRDefault="006D283D" w:rsidP="006D283D">
      <w:pPr>
        <w:numPr>
          <w:ilvl w:val="0"/>
          <w:numId w:val="1"/>
        </w:numPr>
        <w:spacing w:before="100" w:beforeAutospacing="1" w:after="100" w:afterAutospacing="1"/>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fldChar w:fldCharType="begin"/>
      </w:r>
      <w:r w:rsidRPr="006D283D">
        <w:rPr>
          <w:rFonts w:ascii="Helvetica" w:eastAsia="Times New Roman" w:hAnsi="Helvetica" w:cs="Helvetica"/>
          <w:sz w:val="24"/>
          <w:szCs w:val="24"/>
          <w:lang w:eastAsia="en-AU"/>
        </w:rPr>
        <w:instrText xml:space="preserve"> HYPERLINK "https://www.qld.gov.au/recreation/activities/fossicking/licences-permits/" </w:instrText>
      </w:r>
      <w:r w:rsidRPr="006D283D">
        <w:rPr>
          <w:rFonts w:ascii="Helvetica" w:eastAsia="Times New Roman" w:hAnsi="Helvetica" w:cs="Helvetica"/>
          <w:sz w:val="24"/>
          <w:szCs w:val="24"/>
          <w:lang w:eastAsia="en-AU"/>
        </w:rPr>
        <w:fldChar w:fldCharType="separate"/>
      </w:r>
      <w:r w:rsidRPr="006D283D">
        <w:rPr>
          <w:rFonts w:ascii="Helvetica" w:eastAsia="Times New Roman" w:hAnsi="Helvetica" w:cs="Helvetica"/>
          <w:color w:val="13578B"/>
          <w:sz w:val="24"/>
          <w:szCs w:val="24"/>
          <w:lang w:eastAsia="en-AU"/>
        </w:rPr>
        <w:t>Purchase a fossicking licence or fossicking camping permit</w:t>
      </w:r>
      <w:r w:rsidRPr="006D283D">
        <w:rPr>
          <w:rFonts w:ascii="Helvetica" w:eastAsia="Times New Roman" w:hAnsi="Helvetica" w:cs="Helvetica"/>
          <w:sz w:val="24"/>
          <w:szCs w:val="24"/>
          <w:lang w:eastAsia="en-AU"/>
        </w:rPr>
        <w:fldChar w:fldCharType="end"/>
      </w:r>
    </w:p>
    <w:p w:rsidR="006D283D" w:rsidRPr="006D283D" w:rsidRDefault="006D283D" w:rsidP="006D283D">
      <w:pPr>
        <w:numPr>
          <w:ilvl w:val="0"/>
          <w:numId w:val="1"/>
        </w:numPr>
        <w:spacing w:before="100" w:beforeAutospacing="1" w:after="100" w:afterAutospacing="1"/>
        <w:textAlignment w:val="baseline"/>
        <w:rPr>
          <w:rFonts w:ascii="Helvetica" w:eastAsia="Times New Roman" w:hAnsi="Helvetica" w:cs="Helvetica"/>
          <w:sz w:val="24"/>
          <w:szCs w:val="24"/>
          <w:lang w:eastAsia="en-AU"/>
        </w:rPr>
      </w:pPr>
      <w:hyperlink r:id="rId7" w:history="1">
        <w:r w:rsidRPr="006D283D">
          <w:rPr>
            <w:rFonts w:ascii="Helvetica" w:eastAsia="Times New Roman" w:hAnsi="Helvetica" w:cs="Helvetica"/>
            <w:color w:val="13578B"/>
            <w:sz w:val="24"/>
            <w:szCs w:val="24"/>
            <w:lang w:eastAsia="en-AU"/>
          </w:rPr>
          <w:t>Central Queensland gemfields</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8" w:history="1">
        <w:r w:rsidRPr="006D283D">
          <w:rPr>
            <w:rFonts w:ascii="Helvetica" w:eastAsia="Times New Roman" w:hAnsi="Helvetica" w:cs="Helvetica"/>
            <w:b/>
            <w:bCs/>
            <w:color w:val="007EB1"/>
            <w:sz w:val="24"/>
            <w:szCs w:val="24"/>
            <w:shd w:val="clear" w:color="auto" w:fill="F6F6F6"/>
            <w:lang w:eastAsia="en-AU"/>
          </w:rPr>
          <w:t>1</w:t>
        </w:r>
        <w:r w:rsidRPr="006D283D">
          <w:rPr>
            <w:rFonts w:ascii="Helvetica" w:eastAsia="Times New Roman" w:hAnsi="Helvetica" w:cs="Helvetica"/>
            <w:color w:val="13578B"/>
            <w:sz w:val="24"/>
            <w:szCs w:val="24"/>
            <w:lang w:eastAsia="en-AU"/>
          </w:rPr>
          <w:t>Big Bessie fossicking area</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9" w:history="1">
        <w:r w:rsidRPr="006D283D">
          <w:rPr>
            <w:rFonts w:ascii="Helvetica" w:eastAsia="Times New Roman" w:hAnsi="Helvetica" w:cs="Helvetica"/>
            <w:b/>
            <w:bCs/>
            <w:color w:val="007EB1"/>
            <w:sz w:val="24"/>
            <w:szCs w:val="24"/>
            <w:shd w:val="clear" w:color="auto" w:fill="F6F6F6"/>
            <w:lang w:eastAsia="en-AU"/>
          </w:rPr>
          <w:t>2</w:t>
        </w:r>
        <w:r w:rsidRPr="006D283D">
          <w:rPr>
            <w:rFonts w:ascii="Helvetica" w:eastAsia="Times New Roman" w:hAnsi="Helvetica" w:cs="Helvetica"/>
            <w:color w:val="13578B"/>
            <w:sz w:val="24"/>
            <w:szCs w:val="24"/>
            <w:lang w:eastAsia="en-AU"/>
          </w:rPr>
          <w:t>Glenalva fossicking area</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10" w:history="1">
        <w:r w:rsidRPr="006D283D">
          <w:rPr>
            <w:rFonts w:ascii="Helvetica" w:eastAsia="Times New Roman" w:hAnsi="Helvetica" w:cs="Helvetica"/>
            <w:b/>
            <w:bCs/>
            <w:color w:val="007EB1"/>
            <w:sz w:val="24"/>
            <w:szCs w:val="24"/>
            <w:shd w:val="clear" w:color="auto" w:fill="F6F6F6"/>
            <w:lang w:eastAsia="en-AU"/>
          </w:rPr>
          <w:t>3</w:t>
        </w:r>
        <w:r w:rsidRPr="006D283D">
          <w:rPr>
            <w:rFonts w:ascii="Helvetica" w:eastAsia="Times New Roman" w:hAnsi="Helvetica" w:cs="Helvetica"/>
            <w:color w:val="13578B"/>
            <w:sz w:val="24"/>
            <w:szCs w:val="24"/>
            <w:lang w:eastAsia="en-AU"/>
          </w:rPr>
          <w:t>Graves Hill fossicking area</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11" w:history="1">
        <w:r w:rsidRPr="006D283D">
          <w:rPr>
            <w:rFonts w:ascii="Helvetica" w:eastAsia="Times New Roman" w:hAnsi="Helvetica" w:cs="Helvetica"/>
            <w:b/>
            <w:bCs/>
            <w:color w:val="007EB1"/>
            <w:sz w:val="24"/>
            <w:szCs w:val="24"/>
            <w:shd w:val="clear" w:color="auto" w:fill="F6F6F6"/>
            <w:lang w:eastAsia="en-AU"/>
          </w:rPr>
          <w:t>4</w:t>
        </w:r>
        <w:r w:rsidRPr="006D283D">
          <w:rPr>
            <w:rFonts w:ascii="Helvetica" w:eastAsia="Times New Roman" w:hAnsi="Helvetica" w:cs="Helvetica"/>
            <w:color w:val="13578B"/>
            <w:sz w:val="24"/>
            <w:szCs w:val="24"/>
            <w:lang w:eastAsia="en-AU"/>
          </w:rPr>
          <w:t>Middle Ridge fossicking area</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12" w:history="1">
        <w:r w:rsidRPr="006D283D">
          <w:rPr>
            <w:rFonts w:ascii="Helvetica" w:eastAsia="Times New Roman" w:hAnsi="Helvetica" w:cs="Helvetica"/>
            <w:b/>
            <w:bCs/>
            <w:color w:val="007EB1"/>
            <w:sz w:val="24"/>
            <w:szCs w:val="24"/>
            <w:shd w:val="clear" w:color="auto" w:fill="F6F6F6"/>
            <w:lang w:eastAsia="en-AU"/>
          </w:rPr>
          <w:t>5</w:t>
        </w:r>
        <w:r w:rsidRPr="006D283D">
          <w:rPr>
            <w:rFonts w:ascii="Helvetica" w:eastAsia="Times New Roman" w:hAnsi="Helvetica" w:cs="Helvetica"/>
            <w:color w:val="13578B"/>
            <w:sz w:val="24"/>
            <w:szCs w:val="24"/>
            <w:lang w:eastAsia="en-AU"/>
          </w:rPr>
          <w:t>Tomahawk Creek fossicking area</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13" w:history="1">
        <w:r w:rsidRPr="006D283D">
          <w:rPr>
            <w:rFonts w:ascii="Helvetica" w:eastAsia="Times New Roman" w:hAnsi="Helvetica" w:cs="Helvetica"/>
            <w:b/>
            <w:bCs/>
            <w:color w:val="007EB1"/>
            <w:sz w:val="24"/>
            <w:szCs w:val="24"/>
            <w:shd w:val="clear" w:color="auto" w:fill="F6F6F6"/>
            <w:lang w:eastAsia="en-AU"/>
          </w:rPr>
          <w:t>6</w:t>
        </w:r>
        <w:r w:rsidRPr="006D283D">
          <w:rPr>
            <w:rFonts w:ascii="Helvetica" w:eastAsia="Times New Roman" w:hAnsi="Helvetica" w:cs="Helvetica"/>
            <w:color w:val="13578B"/>
            <w:sz w:val="24"/>
            <w:szCs w:val="24"/>
            <w:lang w:eastAsia="en-AU"/>
          </w:rPr>
          <w:t>Sapphire/Rubyvale designated fossicking land</w:t>
        </w:r>
      </w:hyperlink>
    </w:p>
    <w:p w:rsidR="006D283D" w:rsidRPr="006D283D" w:rsidRDefault="006D283D" w:rsidP="006D283D">
      <w:pPr>
        <w:numPr>
          <w:ilvl w:val="1"/>
          <w:numId w:val="1"/>
        </w:numPr>
        <w:spacing w:beforeAutospacing="1" w:afterAutospacing="1"/>
        <w:textAlignment w:val="baseline"/>
        <w:rPr>
          <w:rFonts w:ascii="Helvetica" w:eastAsia="Times New Roman" w:hAnsi="Helvetica" w:cs="Helvetica"/>
          <w:sz w:val="24"/>
          <w:szCs w:val="24"/>
          <w:lang w:eastAsia="en-AU"/>
        </w:rPr>
      </w:pPr>
      <w:hyperlink r:id="rId14" w:history="1">
        <w:r w:rsidRPr="006D283D">
          <w:rPr>
            <w:rFonts w:ascii="Helvetica" w:eastAsia="Times New Roman" w:hAnsi="Helvetica" w:cs="Helvetica"/>
            <w:b/>
            <w:bCs/>
            <w:color w:val="007EB1"/>
            <w:sz w:val="24"/>
            <w:szCs w:val="24"/>
            <w:shd w:val="clear" w:color="auto" w:fill="F6F6F6"/>
            <w:lang w:eastAsia="en-AU"/>
          </w:rPr>
          <w:t>7</w:t>
        </w:r>
        <w:r w:rsidRPr="006D283D">
          <w:rPr>
            <w:rFonts w:ascii="Helvetica" w:eastAsia="Times New Roman" w:hAnsi="Helvetica" w:cs="Helvetica"/>
            <w:color w:val="13578B"/>
            <w:sz w:val="24"/>
            <w:szCs w:val="24"/>
            <w:lang w:eastAsia="en-AU"/>
          </w:rPr>
          <w:t>Willows designated fossicking land</w:t>
        </w:r>
      </w:hyperlink>
    </w:p>
    <w:p w:rsidR="006D283D" w:rsidRPr="006D283D" w:rsidRDefault="006D283D" w:rsidP="006D283D">
      <w:pPr>
        <w:spacing w:before="120" w:after="72"/>
        <w:ind w:left="-96" w:right="-96"/>
        <w:textAlignment w:val="baseline"/>
        <w:outlineLvl w:val="0"/>
        <w:rPr>
          <w:rFonts w:ascii="Helvetica" w:eastAsia="Times New Roman" w:hAnsi="Helvetica" w:cs="Helvetica"/>
          <w:b/>
          <w:bCs/>
          <w:color w:val="000000"/>
          <w:spacing w:val="2"/>
          <w:kern w:val="36"/>
          <w:sz w:val="39"/>
          <w:szCs w:val="39"/>
          <w:lang w:eastAsia="en-AU"/>
        </w:rPr>
      </w:pPr>
      <w:r w:rsidRPr="006D283D">
        <w:rPr>
          <w:rFonts w:ascii="Helvetica" w:eastAsia="Times New Roman" w:hAnsi="Helvetica" w:cs="Helvetica"/>
          <w:b/>
          <w:bCs/>
          <w:color w:val="000000"/>
          <w:spacing w:val="2"/>
          <w:kern w:val="36"/>
          <w:sz w:val="39"/>
          <w:szCs w:val="39"/>
          <w:lang w:eastAsia="en-AU"/>
        </w:rPr>
        <w:t>Central Queensland gemfields</w:t>
      </w:r>
    </w:p>
    <w:p w:rsidR="006D283D" w:rsidRPr="006D283D" w:rsidRDefault="006D283D" w:rsidP="006D283D">
      <w:pPr>
        <w:spacing w:before="199" w:after="199"/>
        <w:ind w:left="0"/>
        <w:textAlignment w:val="baseline"/>
        <w:outlineLvl w:val="1"/>
        <w:rPr>
          <w:rFonts w:ascii="Helvetica" w:eastAsia="Times New Roman" w:hAnsi="Helvetica" w:cs="Helvetica"/>
          <w:b/>
          <w:bCs/>
          <w:color w:val="000000"/>
          <w:sz w:val="32"/>
          <w:szCs w:val="32"/>
          <w:lang w:eastAsia="en-AU"/>
        </w:rPr>
      </w:pPr>
      <w:r w:rsidRPr="006D283D">
        <w:rPr>
          <w:rFonts w:ascii="Helvetica" w:eastAsia="Times New Roman" w:hAnsi="Helvetica" w:cs="Helvetica"/>
          <w:b/>
          <w:bCs/>
          <w:color w:val="000000"/>
          <w:sz w:val="32"/>
          <w:szCs w:val="32"/>
          <w:lang w:eastAsia="en-AU"/>
        </w:rPr>
        <w:t>Tomahawk Creek fossicking area</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This area of undulating bushland is ideal for those wishing to try their luck 'away from it all'.</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Although heavily worked in places, the area remains popular because it still contains large areas of unworked ground.</w:t>
      </w:r>
    </w:p>
    <w:p w:rsidR="006D283D" w:rsidRPr="006D283D" w:rsidRDefault="006D283D" w:rsidP="006D283D">
      <w:pPr>
        <w:spacing w:before="240" w:after="240"/>
        <w:ind w:left="0"/>
        <w:textAlignment w:val="baseline"/>
        <w:outlineLvl w:val="2"/>
        <w:rPr>
          <w:rFonts w:ascii="Helvetica" w:eastAsia="Times New Roman" w:hAnsi="Helvetica" w:cs="Helvetica"/>
          <w:b/>
          <w:bCs/>
          <w:color w:val="000000"/>
          <w:sz w:val="29"/>
          <w:szCs w:val="29"/>
          <w:lang w:eastAsia="en-AU"/>
        </w:rPr>
      </w:pPr>
      <w:r w:rsidRPr="006D283D">
        <w:rPr>
          <w:rFonts w:ascii="Helvetica" w:eastAsia="Times New Roman" w:hAnsi="Helvetica" w:cs="Helvetica"/>
          <w:b/>
          <w:bCs/>
          <w:color w:val="000000"/>
          <w:sz w:val="29"/>
          <w:szCs w:val="29"/>
          <w:lang w:eastAsia="en-AU"/>
        </w:rPr>
        <w:t>Access</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 xml:space="preserve">Turn off the Capricorn Highway for Sapphire and Rubyvale. From Rubyvale take the unsealed Clermont road for 27km to the </w:t>
      </w:r>
      <w:proofErr w:type="spellStart"/>
      <w:r w:rsidRPr="006D283D">
        <w:rPr>
          <w:rFonts w:ascii="Helvetica" w:eastAsia="Times New Roman" w:hAnsi="Helvetica" w:cs="Helvetica"/>
          <w:sz w:val="24"/>
          <w:szCs w:val="24"/>
          <w:lang w:eastAsia="en-AU"/>
        </w:rPr>
        <w:t>Reklaw</w:t>
      </w:r>
      <w:proofErr w:type="spellEnd"/>
      <w:r w:rsidRPr="006D283D">
        <w:rPr>
          <w:rFonts w:ascii="Helvetica" w:eastAsia="Times New Roman" w:hAnsi="Helvetica" w:cs="Helvetica"/>
          <w:sz w:val="24"/>
          <w:szCs w:val="24"/>
          <w:lang w:eastAsia="en-AU"/>
        </w:rPr>
        <w:t xml:space="preserve"> Park/Mount Mica homesteads turn-off. Turn left, then left again almost immediately onto the </w:t>
      </w:r>
      <w:proofErr w:type="spellStart"/>
      <w:r w:rsidRPr="006D283D">
        <w:rPr>
          <w:rFonts w:ascii="Helvetica" w:eastAsia="Times New Roman" w:hAnsi="Helvetica" w:cs="Helvetica"/>
          <w:sz w:val="24"/>
          <w:szCs w:val="24"/>
          <w:lang w:eastAsia="en-AU"/>
        </w:rPr>
        <w:t>Reklaw</w:t>
      </w:r>
      <w:proofErr w:type="spellEnd"/>
      <w:r w:rsidRPr="006D283D">
        <w:rPr>
          <w:rFonts w:ascii="Helvetica" w:eastAsia="Times New Roman" w:hAnsi="Helvetica" w:cs="Helvetica"/>
          <w:sz w:val="24"/>
          <w:szCs w:val="24"/>
          <w:lang w:eastAsia="en-AU"/>
        </w:rPr>
        <w:t xml:space="preserve"> Park track, and follow through a series of grids for 17km to the signposted entrance on the north-east boundary of the fossicking area.</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A minor track on the right leads to the Featherbed Run diggings. The main track then crosses Hut Creek and veers left to follow the eastern edge of Oak Ridge to Zircon Gully, Ironstone Gully and Mount Hoy diggings.</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Tracks are rough but generally suitable for conventional vehicles except in wet weather. Caravans are not recommended. Seek advice locally and check conditions before setting out.</w:t>
      </w:r>
    </w:p>
    <w:p w:rsidR="006D283D" w:rsidRPr="006D283D" w:rsidRDefault="006D283D" w:rsidP="006D283D">
      <w:pPr>
        <w:spacing w:before="240" w:after="240"/>
        <w:ind w:left="0"/>
        <w:textAlignment w:val="baseline"/>
        <w:outlineLvl w:val="2"/>
        <w:rPr>
          <w:rFonts w:ascii="Helvetica" w:eastAsia="Times New Roman" w:hAnsi="Helvetica" w:cs="Helvetica"/>
          <w:b/>
          <w:bCs/>
          <w:color w:val="000000"/>
          <w:sz w:val="29"/>
          <w:szCs w:val="29"/>
          <w:lang w:eastAsia="en-AU"/>
        </w:rPr>
      </w:pPr>
      <w:r w:rsidRPr="006D283D">
        <w:rPr>
          <w:rFonts w:ascii="Helvetica" w:eastAsia="Times New Roman" w:hAnsi="Helvetica" w:cs="Helvetica"/>
          <w:b/>
          <w:bCs/>
          <w:color w:val="000000"/>
          <w:sz w:val="29"/>
          <w:szCs w:val="29"/>
          <w:lang w:eastAsia="en-AU"/>
        </w:rPr>
        <w:t>Map</w:t>
      </w:r>
    </w:p>
    <w:p w:rsidR="006D283D" w:rsidRPr="006D283D" w:rsidRDefault="006D283D" w:rsidP="006D283D">
      <w:pPr>
        <w:numPr>
          <w:ilvl w:val="0"/>
          <w:numId w:val="2"/>
        </w:numPr>
        <w:spacing w:before="100" w:beforeAutospacing="1" w:after="100" w:afterAutospacing="1"/>
        <w:textAlignment w:val="baseline"/>
        <w:rPr>
          <w:rFonts w:ascii="Helvetica" w:eastAsia="Times New Roman" w:hAnsi="Helvetica" w:cs="Helvetica"/>
          <w:sz w:val="24"/>
          <w:szCs w:val="24"/>
          <w:lang w:eastAsia="en-AU"/>
        </w:rPr>
      </w:pPr>
      <w:hyperlink r:id="rId15" w:history="1">
        <w:r w:rsidRPr="006D283D">
          <w:rPr>
            <w:rFonts w:ascii="Helvetica" w:eastAsia="Times New Roman" w:hAnsi="Helvetica" w:cs="Helvetica"/>
            <w:color w:val="13578B"/>
            <w:sz w:val="24"/>
            <w:szCs w:val="24"/>
            <w:u w:val="single"/>
            <w:lang w:eastAsia="en-AU"/>
          </w:rPr>
          <w:t>Tomahawk Creek fossicking area map</w:t>
        </w:r>
        <w:r w:rsidRPr="006D283D">
          <w:rPr>
            <w:rFonts w:ascii="Times New Roman" w:eastAsia="Times New Roman" w:hAnsi="Times New Roman" w:cs="Times New Roman"/>
            <w:color w:val="13578B"/>
            <w:sz w:val="24"/>
            <w:szCs w:val="24"/>
            <w:u w:val="single"/>
            <w:lang w:eastAsia="en-AU"/>
          </w:rPr>
          <w:t xml:space="preserve"> </w:t>
        </w:r>
        <w:r w:rsidRPr="006D283D">
          <w:rPr>
            <w:rFonts w:ascii="Helvetica" w:eastAsia="Times New Roman" w:hAnsi="Helvetica" w:cs="Helvetica"/>
            <w:color w:val="13578B"/>
            <w:sz w:val="24"/>
            <w:szCs w:val="24"/>
            <w:lang w:eastAsia="en-AU"/>
          </w:rPr>
          <w:t>(PDF, 421KB)</w:t>
        </w:r>
      </w:hyperlink>
      <w:r w:rsidRPr="006D283D">
        <w:rPr>
          <w:rFonts w:ascii="Helvetica" w:eastAsia="Times New Roman" w:hAnsi="Helvetica" w:cs="Helvetica"/>
          <w:sz w:val="20"/>
          <w:szCs w:val="20"/>
          <w:lang w:eastAsia="en-AU"/>
        </w:rPr>
        <w:t xml:space="preserve"> ( https://publications.qld.gov.au/storage/f/2014-04-21T21%3A48%3A40.625Z/tomahawk-creek-fossicking-area.pdf )</w:t>
      </w:r>
    </w:p>
    <w:p w:rsidR="006D283D" w:rsidRPr="006D283D" w:rsidRDefault="006D283D" w:rsidP="006D283D">
      <w:pPr>
        <w:spacing w:before="240" w:after="240"/>
        <w:ind w:left="0"/>
        <w:textAlignment w:val="baseline"/>
        <w:outlineLvl w:val="2"/>
        <w:rPr>
          <w:rFonts w:ascii="Helvetica" w:eastAsia="Times New Roman" w:hAnsi="Helvetica" w:cs="Helvetica"/>
          <w:b/>
          <w:bCs/>
          <w:color w:val="000000"/>
          <w:sz w:val="29"/>
          <w:szCs w:val="29"/>
          <w:lang w:eastAsia="en-AU"/>
        </w:rPr>
      </w:pPr>
      <w:r w:rsidRPr="006D283D">
        <w:rPr>
          <w:rFonts w:ascii="Helvetica" w:eastAsia="Times New Roman" w:hAnsi="Helvetica" w:cs="Helvetica"/>
          <w:b/>
          <w:bCs/>
          <w:color w:val="000000"/>
          <w:sz w:val="29"/>
          <w:szCs w:val="29"/>
          <w:lang w:eastAsia="en-AU"/>
        </w:rPr>
        <w:t>Facilities</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lastRenderedPageBreak/>
        <w:t xml:space="preserve">Camping is allowed for a maximum period of 3 months. </w:t>
      </w:r>
      <w:hyperlink r:id="rId16" w:history="1">
        <w:r w:rsidRPr="006D283D">
          <w:rPr>
            <w:rFonts w:ascii="Times New Roman" w:eastAsia="Times New Roman" w:hAnsi="Times New Roman" w:cs="Times New Roman"/>
            <w:color w:val="13578B"/>
            <w:sz w:val="24"/>
            <w:szCs w:val="24"/>
            <w:u w:val="single"/>
            <w:lang w:eastAsia="en-AU"/>
          </w:rPr>
          <w:t>Camping permits</w:t>
        </w:r>
      </w:hyperlink>
      <w:r w:rsidRPr="006D283D">
        <w:rPr>
          <w:rFonts w:ascii="Helvetica" w:eastAsia="Times New Roman" w:hAnsi="Helvetica" w:cs="Helvetica"/>
          <w:sz w:val="20"/>
          <w:szCs w:val="20"/>
          <w:lang w:eastAsia="en-AU"/>
        </w:rPr>
        <w:t xml:space="preserve"> </w:t>
      </w:r>
      <w:proofErr w:type="gramStart"/>
      <w:r w:rsidRPr="006D283D">
        <w:rPr>
          <w:rFonts w:ascii="Helvetica" w:eastAsia="Times New Roman" w:hAnsi="Helvetica" w:cs="Helvetica"/>
          <w:sz w:val="20"/>
          <w:szCs w:val="20"/>
          <w:lang w:eastAsia="en-AU"/>
        </w:rPr>
        <w:t>( https</w:t>
      </w:r>
      <w:proofErr w:type="gramEnd"/>
      <w:r w:rsidRPr="006D283D">
        <w:rPr>
          <w:rFonts w:ascii="Helvetica" w:eastAsia="Times New Roman" w:hAnsi="Helvetica" w:cs="Helvetica"/>
          <w:sz w:val="20"/>
          <w:szCs w:val="20"/>
          <w:lang w:eastAsia="en-AU"/>
        </w:rPr>
        <w:t>://www.qld.gov.au/recreation/activities/fossicking/licences-permits/camping/ )</w:t>
      </w:r>
      <w:r w:rsidRPr="006D283D">
        <w:rPr>
          <w:rFonts w:ascii="Helvetica" w:eastAsia="Times New Roman" w:hAnsi="Helvetica" w:cs="Helvetica"/>
          <w:sz w:val="24"/>
          <w:szCs w:val="24"/>
          <w:lang w:eastAsia="en-AU"/>
        </w:rPr>
        <w:t xml:space="preserve"> can be obtained from our regional offices or fossicking licence agents. There are no facilities except for a solar telephone near the entrance. The area is remote and visitors must be self-sufficient.</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Water needs to be carried from Sapphire or from waterholes in Tomahawk Creek (boil before use). These holes are the supply for some local residents and must not be polluted.</w:t>
      </w:r>
    </w:p>
    <w:p w:rsidR="006D283D" w:rsidRPr="006D283D" w:rsidRDefault="006D283D" w:rsidP="006D283D">
      <w:pPr>
        <w:spacing w:before="240" w:after="240"/>
        <w:ind w:left="0"/>
        <w:textAlignment w:val="baseline"/>
        <w:outlineLvl w:val="2"/>
        <w:rPr>
          <w:rFonts w:ascii="Helvetica" w:eastAsia="Times New Roman" w:hAnsi="Helvetica" w:cs="Helvetica"/>
          <w:b/>
          <w:bCs/>
          <w:color w:val="000000"/>
          <w:sz w:val="29"/>
          <w:szCs w:val="29"/>
          <w:lang w:eastAsia="en-AU"/>
        </w:rPr>
      </w:pPr>
      <w:r w:rsidRPr="006D283D">
        <w:rPr>
          <w:rFonts w:ascii="Helvetica" w:eastAsia="Times New Roman" w:hAnsi="Helvetica" w:cs="Helvetica"/>
          <w:b/>
          <w:bCs/>
          <w:color w:val="000000"/>
          <w:sz w:val="29"/>
          <w:szCs w:val="29"/>
          <w:lang w:eastAsia="en-AU"/>
        </w:rPr>
        <w:t>Fossicking notes</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Wash of different types is extensive. Oak Ridge is blanketed by deep wash but its depth and a cover of large billy boulders renders it impossible to mine by hand.</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 xml:space="preserve">Shallow secondary wash covers Oak Flats; it is only between 300mm and 1m deep and although </w:t>
      </w:r>
      <w:proofErr w:type="spellStart"/>
      <w:r w:rsidRPr="006D283D">
        <w:rPr>
          <w:rFonts w:ascii="Helvetica" w:eastAsia="Times New Roman" w:hAnsi="Helvetica" w:cs="Helvetica"/>
          <w:sz w:val="24"/>
          <w:szCs w:val="24"/>
          <w:lang w:eastAsia="en-AU"/>
        </w:rPr>
        <w:t>bouldery</w:t>
      </w:r>
      <w:proofErr w:type="spellEnd"/>
      <w:r w:rsidRPr="006D283D">
        <w:rPr>
          <w:rFonts w:ascii="Helvetica" w:eastAsia="Times New Roman" w:hAnsi="Helvetica" w:cs="Helvetica"/>
          <w:sz w:val="24"/>
          <w:szCs w:val="24"/>
          <w:lang w:eastAsia="en-AU"/>
        </w:rPr>
        <w:t xml:space="preserve"> makes this area popular with visitors.</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In Zircon Gully, thin (100–200mm), hard, almost cemented wash lies beneath up to 2m of sandy soil overburden.</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Ironstone Gully is the next to the south and has also proved popular.</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The Mount Hoy diggings in the far south lie east of the volcanic plug of Mount Hoy. The shallow wash to 500mm deep consists of white quartz pebbles and cobbles of sandstone and conglomerate; few billy boulders are present.</w:t>
      </w:r>
    </w:p>
    <w:p w:rsidR="006D283D" w:rsidRPr="006D283D" w:rsidRDefault="006D283D" w:rsidP="006D283D">
      <w:pPr>
        <w:spacing w:before="240" w:after="240"/>
        <w:ind w:left="0"/>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A short distance to the north, in the area known as the Ash, the wash comprises 70–100mm of topsoil underlain by 250–300mm of loose pebbly grey soil with rare cobbles, resting on an irregular clay bottom. Some good blues, as well as fancy stones, have been found here.</w:t>
      </w:r>
    </w:p>
    <w:p w:rsidR="006D283D" w:rsidRPr="006D283D" w:rsidRDefault="006D283D" w:rsidP="006D283D">
      <w:pPr>
        <w:shd w:val="clear" w:color="auto" w:fill="EEF5F8"/>
        <w:ind w:left="0"/>
        <w:textAlignment w:val="baseline"/>
        <w:outlineLvl w:val="3"/>
        <w:rPr>
          <w:rFonts w:ascii="Helvetica" w:eastAsia="Times New Roman" w:hAnsi="Helvetica" w:cs="Helvetica"/>
          <w:b/>
          <w:bCs/>
          <w:color w:val="000000"/>
          <w:sz w:val="29"/>
          <w:szCs w:val="29"/>
          <w:lang w:eastAsia="en-AU"/>
        </w:rPr>
      </w:pPr>
      <w:r w:rsidRPr="006D283D">
        <w:rPr>
          <w:rFonts w:ascii="Helvetica" w:eastAsia="Times New Roman" w:hAnsi="Helvetica" w:cs="Helvetica"/>
          <w:b/>
          <w:bCs/>
          <w:color w:val="000000"/>
          <w:sz w:val="29"/>
          <w:szCs w:val="29"/>
          <w:lang w:eastAsia="en-AU"/>
        </w:rPr>
        <w:t>In this guide:</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17" w:history="1">
        <w:r w:rsidRPr="006D283D">
          <w:rPr>
            <w:rFonts w:ascii="Helvetica" w:eastAsia="Times New Roman" w:hAnsi="Helvetica" w:cs="Helvetica"/>
            <w:color w:val="05457F"/>
            <w:sz w:val="24"/>
            <w:szCs w:val="24"/>
            <w:shd w:val="clear" w:color="auto" w:fill="DDECF1"/>
            <w:lang w:eastAsia="en-AU"/>
          </w:rPr>
          <w:t>1</w:t>
        </w:r>
        <w:r w:rsidRPr="006D283D">
          <w:rPr>
            <w:rFonts w:ascii="Helvetica" w:eastAsia="Times New Roman" w:hAnsi="Helvetica" w:cs="Helvetica"/>
            <w:color w:val="13578B"/>
            <w:sz w:val="24"/>
            <w:szCs w:val="24"/>
            <w:u w:val="single"/>
            <w:lang w:eastAsia="en-AU"/>
          </w:rPr>
          <w:t>Big Bessie fossicking area</w:t>
        </w:r>
      </w:hyperlink>
      <w:r w:rsidRPr="006D283D">
        <w:rPr>
          <w:rFonts w:ascii="Helvetica" w:eastAsia="Times New Roman" w:hAnsi="Helvetica" w:cs="Helvetica"/>
          <w:sz w:val="20"/>
          <w:szCs w:val="20"/>
          <w:lang w:eastAsia="en-AU"/>
        </w:rPr>
        <w:t xml:space="preserve"> ( https://www.qld.gov.au/recreation/activities/fossicking/central-qld/big-bessie/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18" w:history="1">
        <w:r w:rsidRPr="006D283D">
          <w:rPr>
            <w:rFonts w:ascii="Helvetica" w:eastAsia="Times New Roman" w:hAnsi="Helvetica" w:cs="Helvetica"/>
            <w:color w:val="05457F"/>
            <w:sz w:val="24"/>
            <w:szCs w:val="24"/>
            <w:shd w:val="clear" w:color="auto" w:fill="DDECF1"/>
            <w:lang w:eastAsia="en-AU"/>
          </w:rPr>
          <w:t>2</w:t>
        </w:r>
        <w:r w:rsidRPr="006D283D">
          <w:rPr>
            <w:rFonts w:ascii="Helvetica" w:eastAsia="Times New Roman" w:hAnsi="Helvetica" w:cs="Helvetica"/>
            <w:color w:val="13578B"/>
            <w:sz w:val="24"/>
            <w:szCs w:val="24"/>
            <w:u w:val="single"/>
            <w:lang w:eastAsia="en-AU"/>
          </w:rPr>
          <w:t>Glenalva fossicking area</w:t>
        </w:r>
      </w:hyperlink>
      <w:r w:rsidRPr="006D283D">
        <w:rPr>
          <w:rFonts w:ascii="Helvetica" w:eastAsia="Times New Roman" w:hAnsi="Helvetica" w:cs="Helvetica"/>
          <w:sz w:val="20"/>
          <w:szCs w:val="20"/>
          <w:lang w:eastAsia="en-AU"/>
        </w:rPr>
        <w:t xml:space="preserve"> ( https://www.qld.gov.au/recreation/activities/fossicking/central-qld/glenalva/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19" w:history="1">
        <w:r w:rsidRPr="006D283D">
          <w:rPr>
            <w:rFonts w:ascii="Helvetica" w:eastAsia="Times New Roman" w:hAnsi="Helvetica" w:cs="Helvetica"/>
            <w:color w:val="05457F"/>
            <w:sz w:val="24"/>
            <w:szCs w:val="24"/>
            <w:shd w:val="clear" w:color="auto" w:fill="DDECF1"/>
            <w:lang w:eastAsia="en-AU"/>
          </w:rPr>
          <w:t>3</w:t>
        </w:r>
        <w:r w:rsidRPr="006D283D">
          <w:rPr>
            <w:rFonts w:ascii="Helvetica" w:eastAsia="Times New Roman" w:hAnsi="Helvetica" w:cs="Helvetica"/>
            <w:color w:val="13578B"/>
            <w:sz w:val="24"/>
            <w:szCs w:val="24"/>
            <w:u w:val="single"/>
            <w:lang w:eastAsia="en-AU"/>
          </w:rPr>
          <w:t>Graves Hill fossicking area</w:t>
        </w:r>
      </w:hyperlink>
      <w:r w:rsidRPr="006D283D">
        <w:rPr>
          <w:rFonts w:ascii="Helvetica" w:eastAsia="Times New Roman" w:hAnsi="Helvetica" w:cs="Helvetica"/>
          <w:sz w:val="20"/>
          <w:szCs w:val="20"/>
          <w:lang w:eastAsia="en-AU"/>
        </w:rPr>
        <w:t xml:space="preserve"> ( https://www.qld.gov.au/recreation/activities/fossicking/central-qld/graves-hill/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20" w:history="1">
        <w:r w:rsidRPr="006D283D">
          <w:rPr>
            <w:rFonts w:ascii="Helvetica" w:eastAsia="Times New Roman" w:hAnsi="Helvetica" w:cs="Helvetica"/>
            <w:color w:val="05457F"/>
            <w:sz w:val="24"/>
            <w:szCs w:val="24"/>
            <w:shd w:val="clear" w:color="auto" w:fill="DDECF1"/>
            <w:lang w:eastAsia="en-AU"/>
          </w:rPr>
          <w:t>4</w:t>
        </w:r>
        <w:r w:rsidRPr="006D283D">
          <w:rPr>
            <w:rFonts w:ascii="Helvetica" w:eastAsia="Times New Roman" w:hAnsi="Helvetica" w:cs="Helvetica"/>
            <w:color w:val="13578B"/>
            <w:sz w:val="24"/>
            <w:szCs w:val="24"/>
            <w:u w:val="single"/>
            <w:lang w:eastAsia="en-AU"/>
          </w:rPr>
          <w:t>Middle Ridge fossicking area</w:t>
        </w:r>
      </w:hyperlink>
      <w:r w:rsidRPr="006D283D">
        <w:rPr>
          <w:rFonts w:ascii="Helvetica" w:eastAsia="Times New Roman" w:hAnsi="Helvetica" w:cs="Helvetica"/>
          <w:sz w:val="20"/>
          <w:szCs w:val="20"/>
          <w:lang w:eastAsia="en-AU"/>
        </w:rPr>
        <w:t xml:space="preserve"> ( https://www.qld.gov.au/recreation/activities/fossicking/central-qld/middle-ridge/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21" w:history="1">
        <w:r w:rsidRPr="006D283D">
          <w:rPr>
            <w:rFonts w:ascii="Helvetica" w:eastAsia="Times New Roman" w:hAnsi="Helvetica" w:cs="Helvetica"/>
            <w:b/>
            <w:bCs/>
            <w:color w:val="05457F"/>
            <w:sz w:val="24"/>
            <w:szCs w:val="24"/>
            <w:shd w:val="clear" w:color="auto" w:fill="DDECF1"/>
            <w:lang w:eastAsia="en-AU"/>
          </w:rPr>
          <w:t>5</w:t>
        </w:r>
        <w:r w:rsidRPr="006D283D">
          <w:rPr>
            <w:rFonts w:ascii="Helvetica" w:eastAsia="Times New Roman" w:hAnsi="Helvetica" w:cs="Helvetica"/>
            <w:b/>
            <w:bCs/>
            <w:color w:val="13578B"/>
            <w:sz w:val="24"/>
            <w:szCs w:val="24"/>
            <w:u w:val="single"/>
            <w:lang w:eastAsia="en-AU"/>
          </w:rPr>
          <w:t>Tomahawk Creek fossicking area</w:t>
        </w:r>
      </w:hyperlink>
      <w:r w:rsidRPr="006D283D">
        <w:rPr>
          <w:rFonts w:ascii="Helvetica" w:eastAsia="Times New Roman" w:hAnsi="Helvetica" w:cs="Helvetica"/>
          <w:sz w:val="20"/>
          <w:szCs w:val="20"/>
          <w:lang w:eastAsia="en-AU"/>
        </w:rPr>
        <w:t xml:space="preserve"> ( https://www.qld.gov.au/recreation/activities/fossicking/central-qld/tomahawk-creek/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22" w:history="1">
        <w:r w:rsidRPr="006D283D">
          <w:rPr>
            <w:rFonts w:ascii="Helvetica" w:eastAsia="Times New Roman" w:hAnsi="Helvetica" w:cs="Helvetica"/>
            <w:color w:val="05457F"/>
            <w:sz w:val="24"/>
            <w:szCs w:val="24"/>
            <w:shd w:val="clear" w:color="auto" w:fill="DDECF1"/>
            <w:lang w:eastAsia="en-AU"/>
          </w:rPr>
          <w:t>6</w:t>
        </w:r>
        <w:r w:rsidRPr="006D283D">
          <w:rPr>
            <w:rFonts w:ascii="Helvetica" w:eastAsia="Times New Roman" w:hAnsi="Helvetica" w:cs="Helvetica"/>
            <w:color w:val="13578B"/>
            <w:sz w:val="24"/>
            <w:szCs w:val="24"/>
            <w:u w:val="single"/>
            <w:lang w:eastAsia="en-AU"/>
          </w:rPr>
          <w:t>Sapphire/Rubyvale designated fossicking land</w:t>
        </w:r>
      </w:hyperlink>
      <w:r w:rsidRPr="006D283D">
        <w:rPr>
          <w:rFonts w:ascii="Helvetica" w:eastAsia="Times New Roman" w:hAnsi="Helvetica" w:cs="Helvetica"/>
          <w:sz w:val="20"/>
          <w:szCs w:val="20"/>
          <w:lang w:eastAsia="en-AU"/>
        </w:rPr>
        <w:t xml:space="preserve"> ( https://www.qld.gov.au/recreation/activities/fossicking/central-qld/rubyvale-saphire/ )</w:t>
      </w:r>
    </w:p>
    <w:p w:rsidR="006D283D" w:rsidRPr="006D283D" w:rsidRDefault="006D283D" w:rsidP="006D283D">
      <w:pPr>
        <w:numPr>
          <w:ilvl w:val="0"/>
          <w:numId w:val="3"/>
        </w:numPr>
        <w:shd w:val="clear" w:color="auto" w:fill="EEF5F8"/>
        <w:spacing w:beforeAutospacing="1" w:afterAutospacing="1"/>
        <w:textAlignment w:val="baseline"/>
        <w:rPr>
          <w:rFonts w:ascii="Helvetica" w:eastAsia="Times New Roman" w:hAnsi="Helvetica" w:cs="Helvetica"/>
          <w:sz w:val="24"/>
          <w:szCs w:val="24"/>
          <w:lang w:eastAsia="en-AU"/>
        </w:rPr>
      </w:pPr>
      <w:hyperlink r:id="rId23" w:history="1">
        <w:r w:rsidRPr="006D283D">
          <w:rPr>
            <w:rFonts w:ascii="Helvetica" w:eastAsia="Times New Roman" w:hAnsi="Helvetica" w:cs="Helvetica"/>
            <w:color w:val="05457F"/>
            <w:sz w:val="24"/>
            <w:szCs w:val="24"/>
            <w:shd w:val="clear" w:color="auto" w:fill="DDECF1"/>
            <w:lang w:eastAsia="en-AU"/>
          </w:rPr>
          <w:t>7</w:t>
        </w:r>
        <w:r w:rsidRPr="006D283D">
          <w:rPr>
            <w:rFonts w:ascii="Helvetica" w:eastAsia="Times New Roman" w:hAnsi="Helvetica" w:cs="Helvetica"/>
            <w:color w:val="13578B"/>
            <w:sz w:val="24"/>
            <w:szCs w:val="24"/>
            <w:u w:val="single"/>
            <w:lang w:eastAsia="en-AU"/>
          </w:rPr>
          <w:t>Willows designated fossicking land</w:t>
        </w:r>
      </w:hyperlink>
      <w:r w:rsidRPr="006D283D">
        <w:rPr>
          <w:rFonts w:ascii="Helvetica" w:eastAsia="Times New Roman" w:hAnsi="Helvetica" w:cs="Helvetica"/>
          <w:sz w:val="20"/>
          <w:szCs w:val="20"/>
          <w:lang w:eastAsia="en-AU"/>
        </w:rPr>
        <w:t xml:space="preserve"> ( https://www.qld.gov.au/recreation/activities/fossicking/central-qld/willows/ )</w:t>
      </w:r>
    </w:p>
    <w:p w:rsidR="006D283D" w:rsidRPr="006D283D" w:rsidRDefault="006D283D" w:rsidP="006D283D">
      <w:pPr>
        <w:numPr>
          <w:ilvl w:val="0"/>
          <w:numId w:val="3"/>
        </w:numPr>
        <w:shd w:val="clear" w:color="auto" w:fill="EEF5F8"/>
        <w:spacing w:before="100" w:beforeAutospacing="1" w:after="100" w:afterAutospacing="1"/>
        <w:textAlignment w:val="baseline"/>
        <w:rPr>
          <w:rFonts w:ascii="Helvetica" w:eastAsia="Times New Roman" w:hAnsi="Helvetica" w:cs="Helvetica"/>
          <w:sz w:val="24"/>
          <w:szCs w:val="24"/>
          <w:lang w:eastAsia="en-AU"/>
        </w:rPr>
      </w:pPr>
      <w:r w:rsidRPr="006D283D">
        <w:rPr>
          <w:rFonts w:ascii="Helvetica" w:eastAsia="Times New Roman" w:hAnsi="Helvetica" w:cs="Helvetica"/>
          <w:sz w:val="24"/>
          <w:szCs w:val="24"/>
          <w:lang w:eastAsia="en-AU"/>
        </w:rPr>
        <w:t>Print entire guide</w:t>
      </w:r>
    </w:p>
    <w:p w:rsidR="006D283D" w:rsidRDefault="006D283D"/>
    <w:sectPr w:rsidR="006D2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36F6"/>
    <w:multiLevelType w:val="multilevel"/>
    <w:tmpl w:val="8D3EF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7459F1"/>
    <w:multiLevelType w:val="multilevel"/>
    <w:tmpl w:val="8180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B36748"/>
    <w:multiLevelType w:val="multilevel"/>
    <w:tmpl w:val="0F46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3D"/>
    <w:rsid w:val="00137A9A"/>
    <w:rsid w:val="006D283D"/>
    <w:rsid w:val="00D71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178">
      <w:bodyDiv w:val="1"/>
      <w:marLeft w:val="0"/>
      <w:marRight w:val="0"/>
      <w:marTop w:val="0"/>
      <w:marBottom w:val="0"/>
      <w:divBdr>
        <w:top w:val="none" w:sz="0" w:space="0" w:color="auto"/>
        <w:left w:val="none" w:sz="0" w:space="0" w:color="auto"/>
        <w:bottom w:val="none" w:sz="0" w:space="0" w:color="auto"/>
        <w:right w:val="none" w:sz="0" w:space="0" w:color="auto"/>
      </w:divBdr>
      <w:divsChild>
        <w:div w:id="1094327475">
          <w:marLeft w:val="0"/>
          <w:marRight w:val="0"/>
          <w:marTop w:val="0"/>
          <w:marBottom w:val="0"/>
          <w:divBdr>
            <w:top w:val="none" w:sz="0" w:space="0" w:color="auto"/>
            <w:left w:val="none" w:sz="0" w:space="0" w:color="auto"/>
            <w:bottom w:val="none" w:sz="0" w:space="0" w:color="auto"/>
            <w:right w:val="none" w:sz="0" w:space="0" w:color="auto"/>
          </w:divBdr>
          <w:divsChild>
            <w:div w:id="21319707">
              <w:marLeft w:val="0"/>
              <w:marRight w:val="0"/>
              <w:marTop w:val="0"/>
              <w:marBottom w:val="0"/>
              <w:divBdr>
                <w:top w:val="none" w:sz="0" w:space="0" w:color="auto"/>
                <w:left w:val="none" w:sz="0" w:space="0" w:color="auto"/>
                <w:bottom w:val="none" w:sz="0" w:space="0" w:color="auto"/>
                <w:right w:val="none" w:sz="0" w:space="0" w:color="auto"/>
              </w:divBdr>
              <w:divsChild>
                <w:div w:id="2070761791">
                  <w:marLeft w:val="0"/>
                  <w:marRight w:val="0"/>
                  <w:marTop w:val="0"/>
                  <w:marBottom w:val="0"/>
                  <w:divBdr>
                    <w:top w:val="none" w:sz="0" w:space="0" w:color="auto"/>
                    <w:left w:val="none" w:sz="0" w:space="0" w:color="auto"/>
                    <w:bottom w:val="none" w:sz="0" w:space="0" w:color="auto"/>
                    <w:right w:val="none" w:sz="0" w:space="0" w:color="auto"/>
                  </w:divBdr>
                  <w:divsChild>
                    <w:div w:id="327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7658">
      <w:bodyDiv w:val="1"/>
      <w:marLeft w:val="0"/>
      <w:marRight w:val="0"/>
      <w:marTop w:val="0"/>
      <w:marBottom w:val="0"/>
      <w:divBdr>
        <w:top w:val="none" w:sz="0" w:space="0" w:color="auto"/>
        <w:left w:val="none" w:sz="0" w:space="0" w:color="auto"/>
        <w:bottom w:val="none" w:sz="0" w:space="0" w:color="auto"/>
        <w:right w:val="none" w:sz="0" w:space="0" w:color="auto"/>
      </w:divBdr>
      <w:divsChild>
        <w:div w:id="792597380">
          <w:marLeft w:val="0"/>
          <w:marRight w:val="0"/>
          <w:marTop w:val="0"/>
          <w:marBottom w:val="0"/>
          <w:divBdr>
            <w:top w:val="none" w:sz="0" w:space="0" w:color="auto"/>
            <w:left w:val="none" w:sz="0" w:space="0" w:color="auto"/>
            <w:bottom w:val="none" w:sz="0" w:space="0" w:color="auto"/>
            <w:right w:val="none" w:sz="0" w:space="0" w:color="auto"/>
          </w:divBdr>
          <w:divsChild>
            <w:div w:id="1706368010">
              <w:marLeft w:val="0"/>
              <w:marRight w:val="0"/>
              <w:marTop w:val="0"/>
              <w:marBottom w:val="0"/>
              <w:divBdr>
                <w:top w:val="none" w:sz="0" w:space="0" w:color="auto"/>
                <w:left w:val="none" w:sz="0" w:space="0" w:color="auto"/>
                <w:bottom w:val="none" w:sz="0" w:space="0" w:color="auto"/>
                <w:right w:val="none" w:sz="0" w:space="0" w:color="auto"/>
              </w:divBdr>
              <w:divsChild>
                <w:div w:id="1819492292">
                  <w:marLeft w:val="0"/>
                  <w:marRight w:val="0"/>
                  <w:marTop w:val="0"/>
                  <w:marBottom w:val="0"/>
                  <w:divBdr>
                    <w:top w:val="none" w:sz="0" w:space="0" w:color="auto"/>
                    <w:left w:val="none" w:sz="0" w:space="0" w:color="auto"/>
                    <w:bottom w:val="none" w:sz="0" w:space="0" w:color="auto"/>
                    <w:right w:val="none" w:sz="0" w:space="0" w:color="auto"/>
                  </w:divBdr>
                  <w:divsChild>
                    <w:div w:id="171726733">
                      <w:marLeft w:val="0"/>
                      <w:marRight w:val="0"/>
                      <w:marTop w:val="0"/>
                      <w:marBottom w:val="0"/>
                      <w:divBdr>
                        <w:top w:val="none" w:sz="0" w:space="0" w:color="auto"/>
                        <w:left w:val="none" w:sz="0" w:space="0" w:color="auto"/>
                        <w:bottom w:val="none" w:sz="0" w:space="0" w:color="auto"/>
                        <w:right w:val="none" w:sz="0" w:space="0" w:color="auto"/>
                      </w:divBdr>
                      <w:divsChild>
                        <w:div w:id="1446071895">
                          <w:marLeft w:val="0"/>
                          <w:marRight w:val="0"/>
                          <w:marTop w:val="0"/>
                          <w:marBottom w:val="0"/>
                          <w:divBdr>
                            <w:top w:val="none" w:sz="0" w:space="0" w:color="auto"/>
                            <w:left w:val="none" w:sz="0" w:space="0" w:color="auto"/>
                            <w:bottom w:val="none" w:sz="0" w:space="0" w:color="auto"/>
                            <w:right w:val="none" w:sz="0" w:space="0" w:color="auto"/>
                          </w:divBdr>
                          <w:divsChild>
                            <w:div w:id="1465730809">
                              <w:marLeft w:val="0"/>
                              <w:marRight w:val="0"/>
                              <w:marTop w:val="0"/>
                              <w:marBottom w:val="0"/>
                              <w:divBdr>
                                <w:top w:val="none" w:sz="0" w:space="0" w:color="auto"/>
                                <w:left w:val="none" w:sz="0" w:space="0" w:color="auto"/>
                                <w:bottom w:val="none" w:sz="0" w:space="0" w:color="auto"/>
                                <w:right w:val="none" w:sz="0" w:space="0" w:color="auto"/>
                              </w:divBdr>
                              <w:divsChild>
                                <w:div w:id="720326500">
                                  <w:marLeft w:val="0"/>
                                  <w:marRight w:val="0"/>
                                  <w:marTop w:val="0"/>
                                  <w:marBottom w:val="0"/>
                                  <w:divBdr>
                                    <w:top w:val="none" w:sz="0" w:space="0" w:color="auto"/>
                                    <w:left w:val="none" w:sz="0" w:space="0" w:color="auto"/>
                                    <w:bottom w:val="none" w:sz="0" w:space="0" w:color="auto"/>
                                    <w:right w:val="none" w:sz="0" w:space="0" w:color="auto"/>
                                  </w:divBdr>
                                  <w:divsChild>
                                    <w:div w:id="1212885091">
                                      <w:marLeft w:val="0"/>
                                      <w:marRight w:val="0"/>
                                      <w:marTop w:val="0"/>
                                      <w:marBottom w:val="0"/>
                                      <w:divBdr>
                                        <w:top w:val="none" w:sz="0" w:space="0" w:color="auto"/>
                                        <w:left w:val="none" w:sz="0" w:space="0" w:color="auto"/>
                                        <w:bottom w:val="none" w:sz="0" w:space="0" w:color="auto"/>
                                        <w:right w:val="none" w:sz="0" w:space="0" w:color="auto"/>
                                      </w:divBdr>
                                    </w:div>
                                    <w:div w:id="896160708">
                                      <w:marLeft w:val="0"/>
                                      <w:marRight w:val="0"/>
                                      <w:marTop w:val="360"/>
                                      <w:marBottom w:val="0"/>
                                      <w:divBdr>
                                        <w:top w:val="none" w:sz="0" w:space="0" w:color="auto"/>
                                        <w:left w:val="none" w:sz="0" w:space="0" w:color="auto"/>
                                        <w:bottom w:val="none" w:sz="0" w:space="0" w:color="auto"/>
                                        <w:right w:val="none" w:sz="0" w:space="0" w:color="auto"/>
                                      </w:divBdr>
                                      <w:divsChild>
                                        <w:div w:id="1072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recreation/activities/fossicking/central-qld/big-bessie/" TargetMode="External"/><Relationship Id="rId13" Type="http://schemas.openxmlformats.org/officeDocument/2006/relationships/hyperlink" Target="https://www.qld.gov.au/recreation/activities/fossicking/central-qld/rubyvale-saphire/" TargetMode="External"/><Relationship Id="rId18" Type="http://schemas.openxmlformats.org/officeDocument/2006/relationships/hyperlink" Target="https://www.qld.gov.au/recreation/activities/fossicking/central-qld/glenalva/" TargetMode="External"/><Relationship Id="rId3" Type="http://schemas.microsoft.com/office/2007/relationships/stylesWithEffects" Target="stylesWithEffects.xml"/><Relationship Id="rId21" Type="http://schemas.openxmlformats.org/officeDocument/2006/relationships/hyperlink" Target="https://www.qld.gov.au/recreation/activities/fossicking/central-qld/tomahawk-creek/" TargetMode="External"/><Relationship Id="rId7" Type="http://schemas.openxmlformats.org/officeDocument/2006/relationships/hyperlink" Target="https://www.qld.gov.au/recreation/activities/fossicking/central-qld/" TargetMode="External"/><Relationship Id="rId12" Type="http://schemas.openxmlformats.org/officeDocument/2006/relationships/hyperlink" Target="https://www.qld.gov.au/recreation/activities/fossicking/central-qld/tomahawk-creek/" TargetMode="External"/><Relationship Id="rId17" Type="http://schemas.openxmlformats.org/officeDocument/2006/relationships/hyperlink" Target="https://www.qld.gov.au/recreation/activities/fossicking/central-qld/big-bess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qld.gov.au/recreation/activities/fossicking/licences-permits/camping/" TargetMode="External"/><Relationship Id="rId20" Type="http://schemas.openxmlformats.org/officeDocument/2006/relationships/hyperlink" Target="https://www.qld.gov.au/recreation/activities/fossicking/central-qld/middle-ridge/" TargetMode="External"/><Relationship Id="rId1" Type="http://schemas.openxmlformats.org/officeDocument/2006/relationships/numbering" Target="numbering.xml"/><Relationship Id="rId6" Type="http://schemas.openxmlformats.org/officeDocument/2006/relationships/hyperlink" Target="https://www.qld.gov.au/recreation/activities/fossicking/" TargetMode="External"/><Relationship Id="rId11" Type="http://schemas.openxmlformats.org/officeDocument/2006/relationships/hyperlink" Target="https://www.qld.gov.au/recreation/activities/fossicking/central-qld/middle-rid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ations.qld.gov.au/storage/f/2014-04-21T21%3A48%3A40.625Z/tomahawk-creek-fossicking-area.pdf" TargetMode="External"/><Relationship Id="rId23" Type="http://schemas.openxmlformats.org/officeDocument/2006/relationships/hyperlink" Target="https://www.qld.gov.au/recreation/activities/fossicking/central-qld/willows/" TargetMode="External"/><Relationship Id="rId10" Type="http://schemas.openxmlformats.org/officeDocument/2006/relationships/hyperlink" Target="https://www.qld.gov.au/recreation/activities/fossicking/central-qld/graves-hill/" TargetMode="External"/><Relationship Id="rId19" Type="http://schemas.openxmlformats.org/officeDocument/2006/relationships/hyperlink" Target="https://www.qld.gov.au/recreation/activities/fossicking/central-qld/graves-hill/" TargetMode="External"/><Relationship Id="rId4" Type="http://schemas.openxmlformats.org/officeDocument/2006/relationships/settings" Target="settings.xml"/><Relationship Id="rId9" Type="http://schemas.openxmlformats.org/officeDocument/2006/relationships/hyperlink" Target="https://www.qld.gov.au/recreation/activities/fossicking/central-qld/glenalva/" TargetMode="External"/><Relationship Id="rId14" Type="http://schemas.openxmlformats.org/officeDocument/2006/relationships/hyperlink" Target="https://www.qld.gov.au/recreation/activities/fossicking/central-qld/willows/" TargetMode="External"/><Relationship Id="rId22" Type="http://schemas.openxmlformats.org/officeDocument/2006/relationships/hyperlink" Target="https://www.qld.gov.au/recreation/activities/fossicking/central-qld/rubyvale-sap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Roadways Pty Ltd</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 Prickett</dc:creator>
  <cp:lastModifiedBy>Syd Prickett</cp:lastModifiedBy>
  <cp:revision>1</cp:revision>
  <dcterms:created xsi:type="dcterms:W3CDTF">2016-03-28T21:41:00Z</dcterms:created>
  <dcterms:modified xsi:type="dcterms:W3CDTF">2016-03-28T21:42:00Z</dcterms:modified>
</cp:coreProperties>
</file>